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  <w:jc w:val="center"/>
      </w:pPr>
      <w:r>
        <w:rPr>
          <w:rFonts w:ascii="Arial" w:cs="Arial" w:eastAsia="Arial" w:hAnsi="Arial"/>
          <w:b/>
          <w:bCs/>
          <w:color w:val="E31E24"/>
          <w:sz w:val="96"/>
          <w:szCs w:val="96"/>
        </w:rPr>
        <w:t xml:space="preserve">WERKÖN</w:t>
      </w:r>
    </w:p>
    <w:p>
      <w:pPr>
        <w:spacing w:after="200"/>
        <w:jc w:val="center"/>
      </w:pPr>
      <w:r>
        <w:rPr>
          <w:b/>
          <w:bCs/>
          <w:color w:val="1A1A1A"/>
          <w:sz w:val="40"/>
          <w:szCs w:val="40"/>
        </w:rPr>
        <w:t xml:space="preserve">WERKON INDIA</w:t>
      </w:r>
    </w:p>
    <w:p>
      <w:pPr>
        <w:spacing w:after="800"/>
        <w:jc w:val="center"/>
      </w:pPr>
      <w:r>
        <w:rPr>
          <w:color w:val="5D5D5D"/>
          <w:spacing w:val="20"/>
          <w:sz w:val="26"/>
          <w:szCs w:val="26"/>
        </w:rPr>
        <w:t xml:space="preserve">BRAND GUIDELINES &amp; IDENTITY KIT</w:t>
      </w:r>
    </w:p>
    <w:p>
      <w:pPr>
        <w:jc w:val="center"/>
      </w:pPr>
      <w:r>
        <w:rPr>
          <w:i/>
          <w:iCs/>
          <w:color w:val="5D5D5D"/>
          <w:sz w:val="20"/>
          <w:szCs w:val="20"/>
        </w:rPr>
        <w:t xml:space="preserve">Trolley Wheels · Toggle Clamps · Hydraulic &amp; Pneumatic Fittings · Industrial Filters · Material Handling</w:t>
      </w:r>
    </w:p>
    <w:p>
      <w:pPr>
        <w:spacing w:before="3000"/>
        <w:jc w:val="center"/>
      </w:pPr>
      <w:r>
        <w:rPr>
          <w:color w:val="333333"/>
          <w:sz w:val="18"/>
          <w:szCs w:val="18"/>
        </w:rPr>
        <w:t xml:space="preserve">Vadodara, Gujarat, India  ·  werkon.co.in</w:t>
      </w:r>
    </w:p>
    <w:p>
      <w:pPr>
        <w:spacing w:before="100"/>
        <w:jc w:val="center"/>
      </w:pPr>
      <w:r>
        <w:rPr>
          <w:color w:val="5D5D5D"/>
          <w:sz w:val="16"/>
          <w:szCs w:val="16"/>
        </w:rPr>
        <w:t xml:space="preserve">Version 1.1 — July 2026</w:t>
      </w:r>
    </w:p>
    <w:p>
      <w:r>
        <w:br w:type="page"/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1. Brand Overview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Brand Name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Legal / registered trading name: Werkon India. Stylised wordmark: Werkön (used in logo lockup and UI headers only — write "Werkon" in running text, sentences, emails, and plain-text contexts where the umlaut may not render correctly).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What We Do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Werkon India is a Vadodara-based manufacturer and authorised dealer of industrial hardware components — trolley wheels &amp; castors, toggle clamps, hydraulic hoses &amp; fittings, industrial filters, coolant filter paper rolls, and material handling equipment. Positioned as a one-stop partner: Manufacture → Distribute → Supply Genuine Spares → Support.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Tagline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"From manufacturing to authorised distribution to genuine spare parts — Werkon is a one-stop partner for your factory floor's material movement and fluid power needs."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Target Audience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Manufacturing &amp; warehousing plant purchase/maintenance teams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Automotive, chemical, textile, food &amp; beverage, and healthcare facility engineers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OEM buyers and bulk/wholesale industrial component procurement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Prospective dealers/distributors across India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Brand Positioning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Reliable, technically credible, no-nonsense industrial supplier — competing on genuine parts, authorised-dealer trust (SUPO, Parker, PBI, OHRI, Surya), and pan-India fulfilment rather than on being the cheapest. Tone is factual and specification-led, not consumer-flashy.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2. Logo &amp; Logo Usage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Primary Logo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Current production asset: /assets/logo.png — white wordmark "Werkön" set in a red (#E31E24) rounded rectangle. Used in the navbar and footer at a fixed small size.</w:t>
      </w:r>
    </w:p>
    <w:p>
      <w:pPr>
        <w:spacing w:after="160" w:line="300"/>
      </w:pPr>
      <w:r>
        <w:rPr>
          <w:b/>
          <w:bCs/>
          <w:i/>
          <w:iCs/>
          <w:color w:val="B8181D"/>
          <w:sz w:val="21"/>
          <w:szCs w:val="21"/>
        </w:rPr>
        <w:t xml:space="preserve">RECOMMENDATION: commission a vector (SVG/AI/EPS) master of this logo, matching the exact red "W" icon + Werkön wordmark shown above. A raster-only logo cannot be resized cleanly for large-format print (banners, vehicle branding, signage) or embroidery/laser-cut signage. This is the one real gap versus a complete industry-grade kit.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Clear Space &amp; Minimum Size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Maintain clear space around the logo equal to the height of the "W" in Werkön on all sides — no other text, icons, or edges inside that space.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Minimum digital display size: 32px height. Minimum print size: 15mm height — do not scale below this or the wordmark becomes illegible.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Logo Don'ts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Do not recolor the logo outside the approved red/white or all-white/all-black variants below.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Do not stretch, skew, rotate, or add drop shadows/outlines/effects.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Do not place the red-background version on busy photographic backgrounds without a solid-color safe area.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Do not recreate the wordmark in a different typeface — always use the master artwork file.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Logo Variants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Full-color (red box, white wordmark) — primary, light backgrounds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All-white (for dark/red backgrounds, e.g. footer, dark hero sections)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All-black / single-color (for engraving, stamping, fax/B&amp;W print, watermarks)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Icon-only mark (for favicon, app icon, social avatar) — currently /icon-192.png, /icon-512.png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3. Color Palette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These are the exact production values from the live site's CSS (style.css) — use these hex codes verbatim in all marketing material for brand consistency across web, print, and signage.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600"/>
        <w:gridCol w:w="2000"/>
        <w:gridCol w:w="4800"/>
      </w:tblGrid>
      <w:tr>
        <w:tc>
          <w:tcPr>
            <w:tcW w:type="dxa" w:w="1600"/>
            <w:shd w:fill="1A1A1A" w:val="clear"/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SWATCH</w:t>
            </w:r>
          </w:p>
        </w:tc>
        <w:tc>
          <w:tcPr>
            <w:tcW w:type="dxa" w:w="2600"/>
            <w:shd w:fill="1A1A1A" w:val="clear"/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000"/>
            <w:shd w:fill="1A1A1A" w:val="clear"/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HEX</w:t>
            </w:r>
          </w:p>
        </w:tc>
        <w:tc>
          <w:tcPr>
            <w:tcW w:type="dxa" w:w="4800"/>
            <w:shd w:fill="1A1A1A" w:val="clear"/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USAGE</w:t>
            </w:r>
          </w:p>
        </w:tc>
      </w:tr>
      <w:tr>
        <w:tc>
          <w:tcPr>
            <w:tcW w:type="dxa" w:w="1600"/>
            <w:shd w:fill="E31E24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Primary Red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#E31E24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Logo, primary buttons, links, active nav, brand accents — the single most important brand color</w:t>
            </w:r>
          </w:p>
        </w:tc>
      </w:tr>
      <w:tr>
        <w:tc>
          <w:tcPr>
            <w:tcW w:type="dxa" w:w="1600"/>
            <w:shd w:fill="B8181D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Primary Red (Dark)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#B8181D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Button hover/pressed states only</w:t>
            </w:r>
          </w:p>
        </w:tc>
      </w:tr>
      <w:tr>
        <w:tc>
          <w:tcPr>
            <w:tcW w:type="dxa" w:w="1600"/>
            <w:shd w:fill="FEF2F2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Red Surface (tint)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#FEF2F2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Light background wash behind red content (active nav item, highlighted card)</w:t>
            </w:r>
          </w:p>
        </w:tc>
      </w:tr>
      <w:tr>
        <w:tc>
          <w:tcPr>
            <w:tcW w:type="dxa" w:w="1600"/>
            <w:shd w:fill="1A1A1A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Ink / Dark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#1A1A1A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Headings, utility bar background, dark footer/CTA sections</w:t>
            </w:r>
          </w:p>
        </w:tc>
      </w:tr>
      <w:tr>
        <w:tc>
          <w:tcPr>
            <w:tcW w:type="dxa" w:w="1600"/>
            <w:shd w:fill="111111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Dark 2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#111111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Deepest background tone, near-black sections</w:t>
            </w:r>
          </w:p>
        </w:tc>
      </w:tr>
      <w:tr>
        <w:tc>
          <w:tcPr>
            <w:tcW w:type="dxa" w:w="1600"/>
            <w:shd w:fill="333333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Body Text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#333333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Default paragraph text</w:t>
            </w:r>
          </w:p>
        </w:tc>
      </w:tr>
      <w:tr>
        <w:tc>
          <w:tcPr>
            <w:tcW w:type="dxa" w:w="1600"/>
            <w:shd w:fill="5D5D5D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Muted Text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#5D5D5D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Secondary text, captions, helper copy</w:t>
            </w:r>
          </w:p>
        </w:tc>
      </w:tr>
      <w:tr>
        <w:tc>
          <w:tcPr>
            <w:tcW w:type="dxa" w:w="1600"/>
            <w:shd w:fill="888888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Light Text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#888888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Tertiary / de-emphasized text</w:t>
            </w:r>
          </w:p>
        </w:tc>
      </w:tr>
      <w:tr>
        <w:tc>
          <w:tcPr>
            <w:tcW w:type="dxa" w:w="1600"/>
            <w:shd w:fill="F9FAFB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Background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#F9FAFB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Page background (off-white)</w:t>
            </w:r>
          </w:p>
        </w:tc>
      </w:tr>
      <w:tr>
        <w:tc>
          <w:tcPr>
            <w:tcW w:type="dxa" w:w="1600"/>
            <w:shd w:fill="F3F4F6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Background Alt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#F3F4F6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Card/section alternate background, hover states</w:t>
            </w:r>
          </w:p>
        </w:tc>
      </w:tr>
      <w:tr>
        <w:tc>
          <w:tcPr>
            <w:tcW w:type="dxa" w:w="1600"/>
            <w:shd w:fill="E5E7EB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Border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#E5E7EB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Dividers, card borders, table lines</w:t>
            </w:r>
          </w:p>
        </w:tc>
      </w:tr>
      <w:tr>
        <w:tc>
          <w:tcPr>
            <w:tcW w:type="dxa" w:w="1600"/>
            <w:shd w:fill="FFFFFF" w:val="clear"/>
            <w:vAlign w:val="center"/>
          </w:tcPr>
          <w:p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600"/>
            <w:vAlign w:val="cente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White</w:t>
            </w:r>
          </w:p>
        </w:tc>
        <w:tc>
          <w:tcPr>
            <w:tcW w:type="dxa" w:w="2000"/>
            <w:vAlign w:val="center"/>
          </w:tcPr>
          <w:p>
            <w:r>
              <w:rPr>
                <w:rFonts w:ascii="Consolas" w:cs="Consolas" w:eastAsia="Consolas" w:hAnsi="Consolas"/>
                <w:color w:val="333333"/>
                <w:sz w:val="20"/>
                <w:szCs w:val="20"/>
              </w:rPr>
              <w:t xml:space="preserve">#FFFFFF</w:t>
            </w:r>
          </w:p>
        </w:tc>
        <w:tc>
          <w:tcPr>
            <w:tcW w:type="dxa" w:w="4800"/>
            <w:vAlign w:val="center"/>
          </w:tcPr>
          <w:p>
            <w:r>
              <w:rPr>
                <w:color w:val="5D5D5D"/>
                <w:sz w:val="20"/>
                <w:szCs w:val="20"/>
              </w:rPr>
              <w:t xml:space="preserve">Primary surface color, text-on-dark</w:t>
            </w:r>
          </w:p>
        </w:tc>
      </w:tr>
    </w:tbl>
    <w:p>
      <w:pPr>
        <w:spacing w:before="200"/>
      </w:pP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Usage Rule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Red is a brand accent, not a fill color — use it for buttons, links, active states, and logo only. Do not paint large background areas red in marketing collateral; pair it with white/off-white and dark ink for an industrial, high-trust feel (matches the live website).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4. Typography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Typeface Family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The live site uses two Google Fonts (loaded via fonts.googleapis.com):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0"/>
      </w:tblGrid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Headings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Plus Jakarta Sans — weights 400, 500, 600, 700, 800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Body Text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Roboto — weights 400, 500, 700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Fallback stack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sans-serif (system default if web fonts fail to load)</w:t>
            </w:r>
          </w:p>
        </w:tc>
      </w:tr>
    </w:tbl>
    <w:p>
      <w:pPr>
        <w:spacing w:before="200"/>
      </w:pP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Hierarchy Guidance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H1 / Hero headlines: Plus Jakarta Sans, 700–800 weight, Dark Ink (#1A1A1A)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H2–H4 / Section headings: Plus Jakarta Sans, 600–700 weight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Nav, buttons, labels: Plus Jakarta Sans, 500–600 weight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Body copy, descriptions, table content: Roboto, 400 weight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Emphasis in body text: Roboto 700 (bold), never italics for industrial spec content</w:t>
      </w:r>
    </w:p>
    <w:p>
      <w:pPr>
        <w:spacing w:after="160" w:line="300"/>
      </w:pPr>
      <w:r>
        <w:rPr>
          <w:i/>
          <w:iCs/>
          <w:color w:val="5D5D5D"/>
          <w:sz w:val="21"/>
          <w:szCs w:val="21"/>
        </w:rPr>
        <w:t xml:space="preserve">NOTE: an earlier internal note (root CLAUDE.md) referenced "Inter" as the brand font — that is outdated. The live production typefaces are Plus Jakarta Sans + Roboto as documented above; use these for all new marketing material.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5. Voice &amp; Tone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Direct and factual — lead with specifications (material, load capacity, mount type, dimensions), not adjectives.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Trust-first — reference authorised-dealer status (SUPO, Parker, PBI, OHRI, Surya) and "genuine parts" whenever relevant.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No hype language — avoid "revolutionary," "game-changing," excessive exclamation points, or emoji (hard rule, zero exceptions across all Werkon material).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Action-oriented CTAs — "Get a Quote," "Download Catalogue," "Enquire," "Become a Dealer."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Plain-English industrial vocabulary — write for a plant purchase manager or maintenance engineer, not a general consumer.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Do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"Authorised dealer for SUPO, Parker, PBI, OHRI, Surya — genuine parts, pan-India supply."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"50+ variants including PU, rubber, nylon, and cast iron castors."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Don't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"The BEST wheels you'll ever buy!!! 🚀" — no emoji, no excessive punctuation, no unverifiable superlatives.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6. Imagery &amp; Iconography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Product photography: clean, well-lit, plain/neutral background, product-only or in-use on factory floor context.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Icons: SVG line icons only — no emoji or emoji-style icon packs, anywhere (site, social, print).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Category photography naming convention (as used on site): /assets/products/[category-name].jpeg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OG / social share image: 1200×630px, currently at /og-image.png — use this exact aspect ratio for any new social banners.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Favicon / app icons: 192×192 and 512×512 PNG (/icon-192.png, /icon-512.png), theme color #E31E24.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7. Favicon, Icon Set &amp; Social Preview</w:t>
      </w:r>
    </w:p>
    <w:p>
      <w:pPr>
        <w:spacing w:after="160" w:line="300"/>
      </w:pPr>
      <w:r>
        <w:rPr>
          <w:color w:val="333333"/>
          <w:sz w:val="21"/>
          <w:szCs w:val="21"/>
        </w:rPr>
        <w:t xml:space="preserve">Exact digital asset files live on the production server today — reference these paths and sizes for any new digital placement (app store listings, partner directories, email signatures, etc).</w:t>
      </w: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Favicon &amp; App Icons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0"/>
      </w:tblGrid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/favicon.ico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Multi-size ICO — browser tab icon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/icon-16.png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16×16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/icon-32.png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32×32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/icon-48.png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48×48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/icon-192.png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192×192 — PWA manifest icon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/icon-512.png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512×512 — PWA manifest icon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/apple-touch-icon.png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180×180 — iOS home-screen icon</w:t>
            </w:r>
          </w:p>
        </w:tc>
      </w:tr>
    </w:tbl>
    <w:p>
      <w:pPr>
        <w:spacing w:before="200"/>
      </w:pPr>
    </w:p>
    <w:p>
      <w:pPr>
        <w:pStyle w:val="Heading2"/>
        <w:spacing w:after="120" w:before="300"/>
      </w:pPr>
      <w:r>
        <w:rPr>
          <w:b/>
          <w:bCs/>
          <w:color w:val="E31E24"/>
          <w:sz w:val="24"/>
          <w:szCs w:val="24"/>
        </w:rPr>
        <w:t xml:space="preserve">Social Share / Open Graph Image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0"/>
      </w:tblGrid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File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/og-image.png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Dimensions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1200×630px (fixed og:image:width / og:image:height)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Shown on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LinkedIn, WhatsApp, X (Twitter), Facebook link previews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Design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Dark background, red "W" icon mark + white "Werkön" wordmark, tagline, red CTA pill with werkon.co.in</w:t>
            </w:r>
          </w:p>
        </w:tc>
      </w:tr>
    </w:tbl>
    <w:p>
      <w:pPr>
        <w:spacing w:before="200"/>
      </w:pPr>
    </w:p>
    <w:p>
      <w:pPr>
        <w:spacing w:after="160" w:line="300"/>
      </w:pPr>
      <w:r>
        <w:rPr>
          <w:i/>
          <w:iCs/>
          <w:color w:val="5D5D5D"/>
          <w:sz w:val="21"/>
          <w:szCs w:val="21"/>
        </w:rPr>
        <w:t xml:space="preserve">Live reference: all of the above are viewable and individually downloadable at werkon.co.in/brand-kit — treat that page as the always-current visual reference; this document is the portable/offline copy.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8. Digital Presence &amp; Assets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0"/>
      </w:tblGrid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Website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https://werkon.co.in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Live Brand Kit page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https://werkon.co.in/brand-kit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Resource Materials hub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https://werkon.co.in/resources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Admin Panel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https://werkon.co.in/admin/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API domain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https://api.werkon.co.in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Theme color (meta)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#E31E24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Manifest short name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Werkon India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LinkedIn (proprietor)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linkedin.com/in/vipul-pateliya-978a2b84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Instagram (proprietor)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instagram.com/vipul.patel_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Product catalogue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/assets/catalog/Werkon-Catalog.pdf</w:t>
            </w:r>
          </w:p>
        </w:tc>
      </w:tr>
    </w:tbl>
    <w:p>
      <w:pPr>
        <w:spacing w:before="200"/>
      </w:pPr>
    </w:p>
    <w:p>
      <w:pPr>
        <w:spacing w:after="160" w:line="300"/>
      </w:pPr>
      <w:r>
        <w:rPr>
          <w:i/>
          <w:iCs/>
          <w:color w:val="5D5D5D"/>
          <w:sz w:val="21"/>
          <w:szCs w:val="21"/>
        </w:rPr>
        <w:t xml:space="preserve">NOTE: current social links point to the proprietor's personal profiles as placeholders. A dedicated Werkon India business Instagram/Facebook/LinkedIn page is a pending action item — update this section once those exist.</w:t>
      </w:r>
    </w:p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9. Business &amp; Contact Information</w:t>
      </w:r>
    </w:p>
    <w:tbl>
      <w:tblPr>
        <w:tblW w:type="dxa" w:w="11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0"/>
      </w:tblGrid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Registered / trading name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Werkon India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Proprietor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Vipulbhai S. Pateliya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GSTIN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24CELPP9468L1ZK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Registered address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FF 6, Barahi Avenue, Road Number 84, Ahmedabad Mercantile Cooperative Bank, Makarpura GIDC, Vadodara, Gujarat, 390010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Public / sales email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sales.werkon@gmail.com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Internal email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vipulpateliya99@gmail.com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Phone / WhatsApp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+91 96628 82289  ·  +91 95101 15647</w:t>
            </w:r>
          </w:p>
        </w:tc>
      </w:tr>
      <w:tr>
        <w:tc>
          <w:tcPr>
            <w:tcW w:type="dxa" w:w="3000"/>
            <w:shd w:fill="F3F4F6" w:val="clear"/>
          </w:tcPr>
          <w:p>
            <w:r>
              <w:rPr>
                <w:b/>
                <w:bCs/>
                <w:color w:val="1A1A1A"/>
                <w:sz w:val="20"/>
                <w:szCs w:val="20"/>
              </w:rPr>
              <w:t xml:space="preserve">Business hours (schema)</w:t>
            </w:r>
          </w:p>
        </w:tc>
        <w:tc>
          <w:tcPr>
            <w:tcW w:type="dxa" w:w="8000"/>
          </w:tcPr>
          <w:p>
            <w:r>
              <w:rPr>
                <w:color w:val="333333"/>
                <w:sz w:val="20"/>
                <w:szCs w:val="20"/>
              </w:rPr>
              <w:t xml:space="preserve">Mon–Sat, 9:30 AM – 7:00 PM (confirm before publishing to Google Business Profile)</w:t>
            </w:r>
          </w:p>
        </w:tc>
      </w:tr>
    </w:tbl>
    <w:p>
      <w:pPr>
        <w:pStyle w:val="Heading1"/>
        <w:pBdr>
          <w:bottom w:val="single" w:color="E31E24" w:sz="12" w:space="4"/>
        </w:pBdr>
        <w:spacing w:after="200" w:before="400"/>
      </w:pPr>
      <w:r>
        <w:rPr>
          <w:b/>
          <w:bCs/>
          <w:color w:val="1A1A1A"/>
          <w:sz w:val="32"/>
          <w:szCs w:val="32"/>
        </w:rPr>
        <w:t xml:space="preserve">10. Non-Negotiable Brand Rules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NEVER use emoji characters anywhere — UI, marketing copy, social captions, icons, favicons, category labels, print material, or internal docs. Use plain text labels, SVG icons, or color coding instead. This applies company-wide with zero exceptions.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Always cite authorised-dealer brands (SUPO, Parker, PBI, OHRI, Surya) accurately — do not imply Werkon manufactures third-party branded lines it only distributes.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Use exact hex values from Section 3 — do not eyeball or approximate the red; sRGB drift is visible against the live website and existing print material.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Keep the "genuine parts" / "authorised dealer" trust message present in any material aimed at procurement/purchase-department audiences — this is the core differentiator versus unauthorised resellers.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333333"/>
          <w:sz w:val="21"/>
          <w:szCs w:val="21"/>
        </w:rPr>
        <w:t xml:space="preserve">Route all new marketing assets (fonts, colors, logo files) through this document as the single source of truth going forward — update this file's version number when the palette, logo, or typefaces change.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D5D5D"/>
        <w:sz w:val="16"/>
        <w:szCs w:val="16"/>
      </w:rPr>
      <w:t xml:space="preserve">Werkon India Brand Guidelines · Page </w:t>
    </w:r>
    <w:r>
      <w:rPr>
        <w:color w:val="5D5D5D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D5D5D"/>
        <w:sz w:val="16"/>
        <w:szCs w:val="16"/>
      </w:rPr>
      <w:t xml:space="preserve">WERKON INDIA — BRAND 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2026-07-06T15:22:45.638Z</dcterms:created>
  <dcterms:modified xsi:type="dcterms:W3CDTF">2026-07-06T15:22:45.638Z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